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60" w:line="320"/>
        <w:jc w:val="center"/>
      </w:pPr>
      <w:r>
        <w:rPr>
          <w:rFonts w:ascii="SimHei" w:cs="SimHei" w:eastAsia="SimHei" w:hAnsi="SimHei"/>
          <w:b w:val="false"/>
          <w:bCs w:val="false"/>
          <w:i w:val="false"/>
          <w:iCs w:val="false"/>
          <w:color w:val="1F4E79"/>
          <w:sz w:val="22"/>
          <w:szCs w:val="22"/>
        </w:rPr>
        <w:t xml:space="preserve">组织行为与利益相关者治理研究</w:t>
      </w:r>
    </w:p>
    <w:p>
      <w:pPr>
        <w:spacing w:after="220" w:before="0" w:line="320"/>
        <w:jc w:val="center"/>
      </w:pPr>
      <w:r>
        <w:rPr>
          <w:rFonts w:ascii="KaiTi" w:cs="KaiTi" w:eastAsia="KaiTi" w:hAnsi="KaiTi"/>
          <w:b w:val="false"/>
          <w:bCs w:val="false"/>
          <w:i w:val="false"/>
          <w:iCs w:val="false"/>
          <w:color w:val="5B6B7A"/>
          <w:sz w:val="22"/>
          <w:szCs w:val="22"/>
        </w:rPr>
        <w:t xml:space="preserve">系列论文之三　·　反馈事件及其处理过程</w:t>
      </w:r>
    </w:p>
    <w:p>
      <w:pPr>
        <w:spacing w:after="12" w:before="80" w:line="320"/>
        <w:jc w:val="center"/>
      </w:pPr>
      <w:r>
        <w:rPr>
          <w:rFonts w:ascii="SimHei" w:cs="SimHei" w:eastAsia="SimHei" w:hAnsi="SimHei"/>
          <w:b/>
          <w:bCs/>
          <w:i w:val="false"/>
          <w:iCs w:val="false"/>
          <w:color w:val="000000"/>
          <w:sz w:val="34"/>
          <w:szCs w:val="34"/>
        </w:rPr>
        <w:t xml:space="preserve">利益相关者反馈向企业战略行动</w:t>
      </w:r>
    </w:p>
    <w:p>
      <w:pPr>
        <w:spacing w:after="70" w:before="0" w:line="320"/>
        <w:jc w:val="center"/>
      </w:pPr>
      <w:r>
        <w:rPr>
          <w:rFonts w:ascii="SimHei" w:cs="SimHei" w:eastAsia="SimHei" w:hAnsi="SimHei"/>
          <w:b/>
          <w:bCs/>
          <w:i w:val="false"/>
          <w:iCs w:val="false"/>
          <w:color w:val="000000"/>
          <w:sz w:val="34"/>
          <w:szCs w:val="34"/>
        </w:rPr>
        <w:t xml:space="preserve">转化的过程机制研究</w:t>
      </w:r>
    </w:p>
    <w:p>
      <w:pPr>
        <w:spacing w:after="220" w:before="8" w:line="320"/>
        <w:jc w:val="center"/>
      </w:pPr>
      <w:r>
        <w:rPr>
          <w:rFonts w:ascii="SimHei" w:cs="SimHei" w:eastAsia="SimHei" w:hAnsi="SimHei"/>
          <w:b w:val="false"/>
          <w:bCs w:val="false"/>
          <w:i w:val="false"/>
          <w:iCs w:val="false"/>
          <w:color w:val="1F4E79"/>
          <w:sz w:val="24"/>
          <w:szCs w:val="24"/>
        </w:rPr>
        <w:t xml:space="preserve">——同一质量问题如何获得预算、责任人与实施记录</w:t>
      </w:r>
    </w:p>
    <w:p>
      <w:pPr>
        <w:spacing w:after="80" w:before="80" w:line="320"/>
        <w:jc w:val="center"/>
      </w:pPr>
      <w:r>
        <w:rPr>
          <w:rFonts w:ascii="Times New Roman" w:cs="Times New Roman" w:eastAsia="Times New Roman" w:hAnsi="Times New Roman"/>
          <w:b w:val="false"/>
          <w:bCs w:val="false"/>
          <w:i/>
          <w:iCs/>
          <w:color w:val="444444"/>
          <w:sz w:val="20"/>
          <w:szCs w:val="20"/>
        </w:rPr>
        <w:t xml:space="preserve">From Stakeholder Feedback to Strategic Action</w:t>
      </w:r>
    </w:p>
    <w:p>
      <w:pPr>
        <w:spacing w:after="240" w:before="0" w:line="320"/>
        <w:jc w:val="center"/>
      </w:pPr>
      <w:r>
        <w:rPr>
          <w:rFonts w:ascii="Times New Roman" w:cs="Times New Roman" w:eastAsia="Times New Roman" w:hAnsi="Times New Roman"/>
          <w:b w:val="false"/>
          <w:bCs w:val="false"/>
          <w:i/>
          <w:iCs/>
          <w:color w:val="444444"/>
          <w:sz w:val="20"/>
          <w:szCs w:val="20"/>
        </w:rPr>
        <w:t xml:space="preserve">How the Same Quality Issue Acquires Budget, Ownership, and an Implementation Record</w:t>
      </w:r>
    </w:p>
    <w:p>
      <w:pPr>
        <w:spacing w:after="80" w:before="80" w:line="320"/>
        <w:jc w:val="center"/>
      </w:pPr>
      <w:r>
        <w:rPr>
          <w:rFonts w:ascii="Times New Roman" w:cs="Times New Roman" w:eastAsia="Times New Roman" w:hAnsi="Times New Roman"/>
          <w:b/>
          <w:bCs/>
          <w:i w:val="false"/>
          <w:iCs w:val="false"/>
          <w:color w:val="000000"/>
          <w:sz w:val="24"/>
          <w:szCs w:val="24"/>
        </w:rPr>
        <w:t xml:space="preserve">Andrew David W.Y.</w:t>
      </w:r>
      <w:r>
        <w:rPr>
          <w:rFonts w:ascii="SimSun" w:cs="SimSun" w:eastAsia="SimSun" w:hAnsi="SimSun"/>
          <w:b w:val="false"/>
          <w:bCs w:val="false"/>
          <w:i w:val="false"/>
          <w:iCs w:val="false"/>
          <w:color w:val="000000"/>
          <w:sz w:val="24"/>
          <w:szCs w:val="24"/>
        </w:rPr>
        <w:t xml:space="preserve">　（蔚腾飞）</w:t>
      </w:r>
    </w:p>
    <w:p>
      <w:pPr>
        <w:spacing w:after="20" w:before="20" w:line="320"/>
        <w:jc w:val="center"/>
      </w:pPr>
      <w:r>
        <w:rPr>
          <w:rFonts w:ascii="Times New Roman" w:cs="Times New Roman" w:eastAsia="Times New Roman" w:hAnsi="Times New Roman"/>
          <w:b/>
          <w:bCs/>
          <w:i w:val="false"/>
          <w:iCs w:val="false"/>
          <w:color w:val="000000"/>
          <w:sz w:val="24"/>
          <w:szCs w:val="24"/>
        </w:rPr>
        <w:t xml:space="preserve">Grok</w:t>
      </w:r>
      <w:r>
        <w:rPr>
          <w:rFonts w:ascii="SimSun" w:cs="SimSun" w:eastAsia="SimSun" w:hAnsi="SimSun"/>
          <w:b w:val="false"/>
          <w:bCs w:val="false"/>
          <w:i w:val="false"/>
          <w:iCs w:val="false"/>
          <w:color w:val="000000"/>
          <w:sz w:val="24"/>
          <w:szCs w:val="24"/>
        </w:rPr>
        <w:t xml:space="preserve">　（xAI）</w:t>
      </w:r>
    </w:p>
    <w:p>
      <w:pPr>
        <w:spacing w:after="160" w:before="40" w:line="320"/>
        <w:jc w:val="center"/>
      </w:pPr>
      <w:r>
        <w:rPr>
          <w:rFonts w:ascii="SimSun" w:cs="SimSun" w:eastAsia="SimSun" w:hAnsi="SimSun"/>
          <w:b w:val="false"/>
          <w:bCs w:val="false"/>
          <w:i w:val="false"/>
          <w:iCs w:val="false"/>
          <w:color w:val="555555"/>
          <w:sz w:val="20"/>
          <w:szCs w:val="20"/>
        </w:rPr>
        <w:t xml:space="preserve">通讯作者：Andrew David W.Y.　｜　weitengfei.com　｜　2026年9月</w:t>
      </w:r>
    </w:p>
    <w:p>
      <w:pPr>
        <w:pBdr>
          <w:top w:val="single" w:color="1F4E79" w:sz="12" w:space="1"/>
        </w:pBdr>
        <w:spacing w:after="140" w:before="20"/>
        <w:jc w:val="center"/>
      </w:pPr>
      <w:r>
        <w:rPr>
          <w:rFonts w:ascii="SimSun" w:cs="SimSun" w:eastAsia="SimSun" w:hAnsi="SimSun"/>
          <w:b w:val="false"/>
          <w:bCs w:val="false"/>
          <w:i w:val="false"/>
          <w:iCs w:val="false"/>
          <w:color w:val="000000"/>
          <w:sz w:val="24"/>
          <w:szCs w:val="24"/>
        </w:rPr>
        <w:t xml:space="preserve"/>
      </w:r>
    </w:p>
    <w:p>
      <w:pPr>
        <w:spacing w:after="80" w:before="80" w:line="320"/>
        <w:jc w:val="center"/>
      </w:pPr>
      <w:r>
        <w:rPr>
          <w:rFonts w:ascii="SimHei" w:cs="SimHei" w:eastAsia="SimHei" w:hAnsi="SimHei"/>
          <w:b/>
          <w:bCs/>
          <w:i w:val="false"/>
          <w:iCs w:val="false"/>
          <w:color w:val="1F4E79"/>
          <w:sz w:val="22"/>
          <w:szCs w:val="22"/>
        </w:rPr>
        <w:t xml:space="preserve">文稿说明</w:t>
      </w:r>
    </w:p>
    <w:p>
      <w:pPr>
        <w:spacing w:after="120" w:before="120" w:line="360"/>
        <w:ind w:firstLine="0"/>
        <w:jc w:val="both"/>
      </w:pPr>
      <w:r>
        <w:rPr>
          <w:rFonts w:ascii="SimSun" w:cs="SimSun" w:eastAsia="SimSun" w:hAnsi="SimSun"/>
          <w:b w:val="false"/>
          <w:bCs w:val="false"/>
          <w:i w:val="false"/>
          <w:iCs w:val="false"/>
          <w:color w:val="000000"/>
          <w:sz w:val="21"/>
          <w:szCs w:val="21"/>
        </w:rPr>
        <w:t xml:space="preserve">本文为系列研究的第三篇。研究单位是反馈事件及其跨部门处理过程，首选路径是纵向比较案例。核心问题是解释反馈如何进入行动。战略行动被操作化为同时具备预算、责任人和实施记录的组织回应；一般售后回复、问卷回收率或渠道数量本身不构成战略行动。本文完成过程模型、比较逻辑与资料方案；因案例尚未采集，不报告虚构过程结论。</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摘　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成长型制造企业往往并不缺少反馈渠道。员工可以通过班组、质检和内部系统报告同一产品质量缺陷，客户可以通过投诉、退货、评审和售后记录报告同一缺陷。企业因此积累大量意见，却经常无法说明哪一条意见改变了标准、预算或跨部门流程。发声与议题推销文献已经解释人们为何开口、中层如何把问题送上议程；[1][2] 质量管理文献则描述投诉如何被分类和处理。缺口在于：同一质量议题来自内部与外部时，证据地位、组织转译、议程权限和资源承接如何连接或断裂，以及渠道数量为何不能保证转化。</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将转化定义为反馈事件经过可核验问题转译、进入有决策权的议程、并获得责任与资源连续承接，最终形成可检查实施记录的过程。提出五环节过程模型：接收、转译、议程进入、责任与资源耦合、实施与回告。计划在2—4家已设反馈渠道、正在扩产或改型的成长型制造企业中，选取同一类质量问题，对员工来源与客户来源的配对事件做纵向追踪，用过程追踪比较成功转化、停在售后、停在议程和被资源阻断四类结局。</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理论贡献是把利益相关者参与从“收集意见”推进到“有据可查的决策回应”，并检验书稿中情报与战略控制工具在事件层是否真能接上。实践上，研究帮助质量与战略负责人判断应补的是渠道、转译能力、议程权限还是预算承接。渠道参与率本身不被写成治理改善。</w:t>
      </w:r>
    </w:p>
    <w:p>
      <w:pPr>
        <w:spacing w:after="180" w:before="140" w:line="320"/>
        <w:jc w:val="left"/>
      </w:pPr>
      <w:r>
        <w:rPr>
          <w:rFonts w:ascii="SimHei" w:cs="SimHei" w:eastAsia="SimHei" w:hAnsi="SimHei"/>
          <w:b/>
          <w:bCs/>
          <w:i w:val="false"/>
          <w:iCs w:val="false"/>
          <w:color w:val="000000"/>
          <w:sz w:val="24"/>
          <w:szCs w:val="24"/>
        </w:rPr>
        <w:t xml:space="preserve">关键词：</w:t>
      </w:r>
      <w:r>
        <w:rPr>
          <w:rFonts w:ascii="SimSun" w:cs="SimSun" w:eastAsia="SimSun" w:hAnsi="SimSun"/>
          <w:b w:val="false"/>
          <w:bCs w:val="false"/>
          <w:i w:val="false"/>
          <w:iCs w:val="false"/>
          <w:color w:val="000000"/>
          <w:sz w:val="24"/>
          <w:szCs w:val="24"/>
        </w:rPr>
        <w:t xml:space="preserve">利益相关者反馈；战略行动；议题推销；过程追踪；质量问题；成长型制造企业</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Abstract</w:t>
      </w:r>
    </w:p>
    <w:p>
      <w:pPr>
        <w:spacing w:after="120" w:before="120" w:line="360"/>
        <w:ind w:firstLine="0"/>
        <w:jc w:val="both"/>
      </w:pPr>
      <w:r>
        <w:rPr>
          <w:rFonts w:ascii="Times New Roman" w:cs="Times New Roman" w:eastAsia="Times New Roman" w:hAnsi="Times New Roman"/>
          <w:b w:val="false"/>
          <w:bCs w:val="false"/>
          <w:i w:val="false"/>
          <w:iCs w:val="false"/>
          <w:color w:val="000000"/>
          <w:sz w:val="22"/>
          <w:szCs w:val="22"/>
        </w:rPr>
        <w:t xml:space="preserve">Growing manufacturers rarely lack feedback channels. Employees and customers can report the same product-quality defect through different routes. Firms therefore accumulate opinions without being able to show which remark changed a standard, a budget, or a cross-functional process. Voice and issue-selling research explains why people speak and how middle managers place issues on agendas;[1][2] quality-management work describes how complaints are classified. What remains is how, for the same quality issue from internal and external sources, evidential standing, organizational translation, agenda authority, and resource handover connect or break—and why channel volume does not guarantee conversion.</w:t>
      </w:r>
    </w:p>
    <w:p>
      <w:pPr>
        <w:spacing w:after="80" w:before="80" w:line="320"/>
        <w:jc w:val="left"/>
      </w:pPr>
      <w:r>
        <w:rPr>
          <w:rFonts w:ascii="Times New Roman" w:cs="Times New Roman" w:eastAsia="Times New Roman" w:hAnsi="Times New Roman"/>
          <w:b/>
          <w:bCs/>
          <w:i w:val="false"/>
          <w:iCs w:val="false"/>
          <w:color w:val="000000"/>
          <w:sz w:val="22"/>
          <w:szCs w:val="22"/>
        </w:rPr>
        <w:t xml:space="preserve">Keywords: </w:t>
      </w:r>
      <w:r>
        <w:rPr>
          <w:rFonts w:ascii="Times New Roman" w:cs="Times New Roman" w:eastAsia="Times New Roman" w:hAnsi="Times New Roman"/>
          <w:b w:val="false"/>
          <w:bCs w:val="false"/>
          <w:i w:val="false"/>
          <w:iCs w:val="false"/>
          <w:color w:val="000000"/>
          <w:sz w:val="22"/>
          <w:szCs w:val="22"/>
        </w:rPr>
        <w:t xml:space="preserve">stakeholder feedback; strategic action; issue selling; process tracing; product quality; growing manufacturers</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一、问题提出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企业越来越善于收集意见。问卷、热线、经销商周报、产线安灯、员工提案箱和客户评审会可以同时存在。收集本身却不回答一个更硬的问题：一条关于产品质量的反馈，怎样才算进入了战略行动。如果行动只被定义为“有人回复了”，参与治理就会停在礼仪层。如果行动被定义为“标准、资源配置或跨部门流程发生了可记录的改变”，研究就必须跟着事件走完转译、议程、预算和执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基础读物中的 Luck Companies 案例提示，360度评估和匿名反馈可以与管理者行动相连，但现有公开材料并没有完整事件档案，不能说明每条意见如何进入预算和实施。[3] 发声研究已经非常丰富，Morrison 的十年综述明确提醒：开口、沉默、被听见和被执行不是同一件事，量表不能混用。[2] Dutton 与 Ashford 把中层把问题“卖给”高层视为战略议程形成的早期机制，但议题进入视野之后，资源和执行仍可能断开。[1]</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同一质量问题尤其适合暴露这些断点。员工报告的往往是工艺窗口、来料波动和检测漏洞；客户报告的往往是失效、交期和现场损失。两者可能指向同一缺陷，却被分别送进质检、售后、销售和战略会，使用不同证据标准。于是出现四种常见结局：售后结案但标准不变；进入会议纪要但无预算；有预算但无责任人；有责任人但无实施记录。渠道越多，意见越碎，转化率并不自动上升。</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据此，本文的一句话问题是：在成长型制造企业中，员工和客户关于同一产品质量问题的反馈，经过哪些组织处理环节才能转化为同时具备预算、责任人和实施记录的战略行动？边界如下。第一，只研究影响产品标准、资源配置或跨部门流程的行动；一般售后回复不自动视为战略行动。第二，不研究全部公共舆情或危机传播。第三，不把渠道数量、参与率或满意度分数直接写成治理有效。第四，过程模型中的每一环节都是待检验的连接，不是事先宣布的必要条件；若无某环节仍反复实现行动，应重构链条。</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二、理论基础与文献回顾</w:t>
      </w:r>
    </w:p>
    <w:p>
      <w:pPr>
        <w:pStyle w:val="Heading2"/>
        <w:spacing w:after="120" w:before="280" w:line="360"/>
      </w:pPr>
      <w:r>
        <w:rPr>
          <w:rFonts w:ascii="SimHei" w:cs="SimHei" w:eastAsia="SimHei" w:hAnsi="SimHei"/>
          <w:b/>
          <w:bCs/>
          <w:i w:val="false"/>
          <w:iCs w:val="false"/>
          <w:color w:val="2E5090"/>
          <w:sz w:val="26"/>
          <w:szCs w:val="26"/>
        </w:rPr>
        <w:t xml:space="preserve">（一）发声、沉默与组织回应</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员工发声研究长期关注何时开口、何时沉默，以及领导、心理安全和认同如何影响表达。[2] 这对理解反馈为何出现是必要的，但对理解反馈为何变成行动并不充分。开口之后仍可能被降级为情绪宣泄、被改写成个别操作失误，或在跨部门交接中失踪。客户抱怨研究同样丰富，却常常停在满意修复，不追踪标准是否改写。本文将“表达已经发生”当作分析起点，而不是当作转化已经完成的证据。</w:t>
      </w:r>
    </w:p>
    <w:p>
      <w:pPr>
        <w:pStyle w:val="Heading2"/>
        <w:spacing w:after="120" w:before="280" w:line="360"/>
      </w:pPr>
      <w:r>
        <w:rPr>
          <w:rFonts w:ascii="SimHei" w:cs="SimHei" w:eastAsia="SimHei" w:hAnsi="SimHei"/>
          <w:b/>
          <w:bCs/>
          <w:i w:val="false"/>
          <w:iCs w:val="false"/>
          <w:color w:val="2E5090"/>
          <w:sz w:val="26"/>
          <w:szCs w:val="26"/>
        </w:rPr>
        <w:t xml:space="preserve">（二）议题推销与注意力分配</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Dutton 与 Ashford 指出，高层时间和注意力有限，中层如何包装、捆绑和上传问题，会影响什么进入战略议程。[1] 后续研究补充了情境判断、印象管理和成功推销的具体手法。这对解释“为何这条质量问题被看见”很有用。它仍留下后半段：看见之后是否获得预算、责任人和可检查的实施。把推销成功等同于战略行动，会把纪要写成执行。本文把议程进入当作必要但非充分的中间状态。</w:t>
      </w:r>
    </w:p>
    <w:p>
      <w:pPr>
        <w:pStyle w:val="Heading2"/>
        <w:spacing w:after="120" w:before="280" w:line="360"/>
      </w:pPr>
      <w:r>
        <w:rPr>
          <w:rFonts w:ascii="SimHei" w:cs="SimHei" w:eastAsia="SimHei" w:hAnsi="SimHei"/>
          <w:b/>
          <w:bCs/>
          <w:i w:val="false"/>
          <w:iCs w:val="false"/>
          <w:color w:val="2E5090"/>
          <w:sz w:val="26"/>
          <w:szCs w:val="26"/>
        </w:rPr>
        <w:t xml:space="preserve">（三）质量闭环与战略控制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制造企业通常已有不合格品、纠正预防和客户投诉流程。这些流程擅长把问题处理成工单，不一定擅长把重复工单转成标准或产能决策。Freeman、Harrison 与 Zyglidopoulos 提供的利益理解、管理情报和战略控制工具，提示企业应把外部信号接进控制循环。[3] 书稿则把反馈视为共同创造进入治理的入口之一，强调确认、责任和可追溯。[4] 事件层要检验的是：这些工具在扩产、改型、人手不足的成长企业里，究竟在哪一节断开。</w:t>
      </w:r>
    </w:p>
    <w:p>
      <w:pPr>
        <w:pStyle w:val="Heading2"/>
        <w:spacing w:after="120" w:before="280" w:line="360"/>
      </w:pPr>
      <w:r>
        <w:rPr>
          <w:rFonts w:ascii="SimHei" w:cs="SimHei" w:eastAsia="SimHei" w:hAnsi="SimHei"/>
          <w:b/>
          <w:bCs/>
          <w:i w:val="false"/>
          <w:iCs w:val="false"/>
          <w:color w:val="2E5090"/>
          <w:sz w:val="26"/>
          <w:szCs w:val="26"/>
        </w:rPr>
        <w:t xml:space="preserve">（四）来源双重性：员工与客户</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同一缺陷的内部报告与外部报告，证据地位不同。员工材料往往更靠近工艺参数，但可能被看成内部牢骚；客户材料往往带有索赔和关系压力，但可能缺少可复现的技术细节。两者汇合时，组织可能更相信带金额的投诉，或更相信带检测数据的内部报告。过程研究必须把来源编码进事件，而不是把“利益相关者反馈”写成单一输入。这也是本篇与第1篇、第8篇的区别：第1篇解释个人为何继续贡献，第8篇解释有限注意力先给谁，本篇解释已经进入通道的同一问题如何走完整条转化链。</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三、过程模型与命题</w:t>
      </w:r>
    </w:p>
    <w:p>
      <w:pPr>
        <w:pStyle w:val="Heading2"/>
        <w:spacing w:after="120" w:before="280" w:line="360"/>
      </w:pPr>
      <w:r>
        <w:rPr>
          <w:rFonts w:ascii="SimHei" w:cs="SimHei" w:eastAsia="SimHei" w:hAnsi="SimHei"/>
          <w:b/>
          <w:bCs/>
          <w:i w:val="false"/>
          <w:iCs w:val="false"/>
          <w:color w:val="2E5090"/>
          <w:sz w:val="26"/>
          <w:szCs w:val="26"/>
        </w:rPr>
        <w:t xml:space="preserve">（一）五环节模型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转化被定义为一条反馈事件从进入组织到形成战略行动的过程。战略行动的操作标准有三项，须同时满足：有可识别的预算或明确的资源占用；有具名责任人及权限；有能够显示标准、流程或配置已经改变的实施记录。缺任何一项，事件被编码为未完成转化，并标记停在哪一环节。</w:t>
      </w:r>
    </w:p>
    <w:p>
      <w:pPr>
        <w:spacing w:after="60" w:before="180" w:line="320"/>
        <w:jc w:val="center"/>
      </w:pPr>
      <w:r>
        <w:rPr>
          <w:rFonts w:ascii="SimHei" w:cs="SimHei" w:eastAsia="SimHei" w:hAnsi="SimHei"/>
          <w:b/>
          <w:bCs/>
          <w:i w:val="false"/>
          <w:iCs w:val="false"/>
          <w:color w:val="000000"/>
          <w:sz w:val="21"/>
          <w:szCs w:val="21"/>
        </w:rPr>
        <w:t xml:space="preserve">表1　反馈转化为战略行动的五环节</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819"/>
        <w:gridCol w:w="3819"/>
      </w:tblGrid>
      <w:tr>
        <w:trPr>
          <w:tblHeader/>
        </w:trPr>
        <w:tc>
          <w:tcPr>
            <w:tcW w:type="dxa" w:w="20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环节</w:t>
            </w:r>
          </w:p>
        </w:tc>
        <w:tc>
          <w:tcPr>
            <w:tcW w:type="dxa" w:w="38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完成标志</w:t>
            </w:r>
          </w:p>
        </w:tc>
        <w:tc>
          <w:tcPr>
            <w:tcW w:type="dxa" w:w="38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典型断点</w:t>
            </w:r>
          </w:p>
        </w:tc>
      </w:tr>
      <w:tr>
        <w:tc>
          <w:tcPr>
            <w:tcW w:type="dxa" w:w="20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1 接收</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事件进入可检索记录，来源可识别</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口头消化、渠道互不连通</w:t>
            </w:r>
          </w:p>
        </w:tc>
      </w:tr>
      <w:tr>
        <w:tc>
          <w:tcPr>
            <w:tcW w:type="dxa" w:w="20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2 转译</w:t>
            </w:r>
          </w:p>
        </w:tc>
        <w:tc>
          <w:tcPr>
            <w:tcW w:type="dxa" w:w="38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被写成可核验问题：对象、证据、重复性</w:t>
            </w:r>
          </w:p>
        </w:tc>
        <w:tc>
          <w:tcPr>
            <w:tcW w:type="dxa" w:w="38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停留在态度或个别失误叙事</w:t>
            </w:r>
          </w:p>
        </w:tc>
      </w:tr>
      <w:tr>
        <w:tc>
          <w:tcPr>
            <w:tcW w:type="dxa" w:w="20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3 议程进入</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进入有决策权的会议或批准链</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在部门内循环，或只有通报没有决定权</w:t>
            </w:r>
          </w:p>
        </w:tc>
      </w:tr>
      <w:tr>
        <w:tc>
          <w:tcPr>
            <w:tcW w:type="dxa" w:w="20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4 责任与资源耦合</w:t>
            </w:r>
          </w:p>
        </w:tc>
        <w:tc>
          <w:tcPr>
            <w:tcW w:type="dxa" w:w="38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责任人、期限与预算/产能同时指定</w:t>
            </w:r>
          </w:p>
        </w:tc>
        <w:tc>
          <w:tcPr>
            <w:tcW w:type="dxa" w:w="38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有纪要无钱，或有钱无主</w:t>
            </w:r>
          </w:p>
        </w:tc>
      </w:tr>
      <w:tr>
        <w:tc>
          <w:tcPr>
            <w:tcW w:type="dxa" w:w="20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5 实施与回告</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标准或流程变更留痕，并向来源回告</w:t>
            </w:r>
          </w:p>
        </w:tc>
        <w:tc>
          <w:tcPr>
            <w:tcW w:type="dxa" w:w="38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现场临时处理，无制度化记录</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注：五环节是分析框架，不是规范上必须按此顺序发生的仪式。比较案例的任务是观察哪些连接实际出现、哪些被绕过、哪些被其他压力替代。</w:t>
      </w:r>
    </w:p>
    <w:p>
      <w:pPr>
        <w:pStyle w:val="Heading2"/>
        <w:spacing w:after="120" w:before="280" w:line="360"/>
      </w:pPr>
      <w:r>
        <w:rPr>
          <w:rFonts w:ascii="SimHei" w:cs="SimHei" w:eastAsia="SimHei" w:hAnsi="SimHei"/>
          <w:b/>
          <w:bCs/>
          <w:i w:val="false"/>
          <w:iCs w:val="false"/>
          <w:color w:val="2E5090"/>
          <w:sz w:val="26"/>
          <w:szCs w:val="26"/>
        </w:rPr>
        <w:t xml:space="preserve">（二）命题</w:t>
      </w:r>
    </w:p>
    <w:p>
      <w:pPr>
        <w:spacing w:after="120" w:before="120" w:line="360"/>
        <w:ind w:firstLine="480"/>
        <w:jc w:val="both"/>
      </w:pPr>
      <w:r>
        <w:rPr>
          <w:rFonts w:ascii="SimSun" w:cs="SimSun" w:eastAsia="SimSun" w:hAnsi="SimSun"/>
          <w:b/>
          <w:bCs/>
          <w:i w:val="false"/>
          <w:iCs w:val="false"/>
          <w:color w:val="000000"/>
          <w:sz w:val="24"/>
          <w:szCs w:val="24"/>
        </w:rPr>
        <w:t xml:space="preserve">命题1：</w:t>
      </w:r>
      <w:r>
        <w:rPr>
          <w:rFonts w:ascii="SimSun" w:cs="SimSun" w:eastAsia="SimSun" w:hAnsi="SimSun"/>
          <w:b w:val="false"/>
          <w:bCs w:val="false"/>
          <w:i w:val="false"/>
          <w:iCs w:val="false"/>
          <w:color w:val="000000"/>
          <w:sz w:val="24"/>
          <w:szCs w:val="24"/>
        </w:rPr>
        <w:t xml:space="preserve">渠道数量和参与率提高，并不显著提高战略行动转化率；转化取决于事件能否完成转译并进入有权分配资源的议程。</w:t>
      </w:r>
    </w:p>
    <w:p>
      <w:pPr>
        <w:spacing w:after="120" w:before="120" w:line="360"/>
        <w:ind w:firstLine="480"/>
        <w:jc w:val="both"/>
      </w:pPr>
      <w:r>
        <w:rPr>
          <w:rFonts w:ascii="SimSun" w:cs="SimSun" w:eastAsia="SimSun" w:hAnsi="SimSun"/>
          <w:b/>
          <w:bCs/>
          <w:i w:val="false"/>
          <w:iCs w:val="false"/>
          <w:color w:val="000000"/>
          <w:sz w:val="24"/>
          <w:szCs w:val="24"/>
        </w:rPr>
        <w:t xml:space="preserve">命题2：</w:t>
      </w:r>
      <w:r>
        <w:rPr>
          <w:rFonts w:ascii="SimSun" w:cs="SimSun" w:eastAsia="SimSun" w:hAnsi="SimSun"/>
          <w:b w:val="false"/>
          <w:bCs w:val="false"/>
          <w:i w:val="false"/>
          <w:iCs w:val="false"/>
          <w:color w:val="000000"/>
          <w:sz w:val="24"/>
          <w:szCs w:val="24"/>
        </w:rPr>
        <w:t xml:space="preserve">同一质量问题若只有客户投诉或只有员工报告，转化概率低于两来源在转译环节被并案处理的事件。</w:t>
      </w:r>
    </w:p>
    <w:p>
      <w:pPr>
        <w:spacing w:after="120" w:before="120" w:line="360"/>
        <w:ind w:firstLine="480"/>
        <w:jc w:val="both"/>
      </w:pPr>
      <w:r>
        <w:rPr>
          <w:rFonts w:ascii="SimSun" w:cs="SimSun" w:eastAsia="SimSun" w:hAnsi="SimSun"/>
          <w:b/>
          <w:bCs/>
          <w:i w:val="false"/>
          <w:iCs w:val="false"/>
          <w:color w:val="000000"/>
          <w:sz w:val="24"/>
          <w:szCs w:val="24"/>
        </w:rPr>
        <w:t xml:space="preserve">命题3：</w:t>
      </w:r>
      <w:r>
        <w:rPr>
          <w:rFonts w:ascii="SimSun" w:cs="SimSun" w:eastAsia="SimSun" w:hAnsi="SimSun"/>
          <w:b w:val="false"/>
          <w:bCs w:val="false"/>
          <w:i w:val="false"/>
          <w:iCs w:val="false"/>
          <w:color w:val="000000"/>
          <w:sz w:val="24"/>
          <w:szCs w:val="24"/>
        </w:rPr>
        <w:t xml:space="preserve">转译质量——问题可复现、证据可核验、重复频次可统计——正向影响议程进入；来源身份的作用弱于转译质量，除非来源直接改变证据可获得性。</w:t>
      </w:r>
    </w:p>
    <w:p>
      <w:pPr>
        <w:spacing w:after="120" w:before="120" w:line="360"/>
        <w:ind w:firstLine="480"/>
        <w:jc w:val="both"/>
      </w:pPr>
      <w:r>
        <w:rPr>
          <w:rFonts w:ascii="SimSun" w:cs="SimSun" w:eastAsia="SimSun" w:hAnsi="SimSun"/>
          <w:b/>
          <w:bCs/>
          <w:i w:val="false"/>
          <w:iCs w:val="false"/>
          <w:color w:val="000000"/>
          <w:sz w:val="24"/>
          <w:szCs w:val="24"/>
        </w:rPr>
        <w:t xml:space="preserve">命题4：</w:t>
      </w:r>
      <w:r>
        <w:rPr>
          <w:rFonts w:ascii="SimSun" w:cs="SimSun" w:eastAsia="SimSun" w:hAnsi="SimSun"/>
          <w:b w:val="false"/>
          <w:bCs w:val="false"/>
          <w:i w:val="false"/>
          <w:iCs w:val="false"/>
          <w:color w:val="000000"/>
          <w:sz w:val="24"/>
          <w:szCs w:val="24"/>
        </w:rPr>
        <w:t xml:space="preserve">议程进入之后，若责任人与预算（或产能窗口）未在同一决策中耦合，事件更可能停在“已讨论未行动”。</w:t>
      </w:r>
    </w:p>
    <w:p>
      <w:pPr>
        <w:spacing w:after="120" w:before="120" w:line="360"/>
        <w:ind w:firstLine="480"/>
        <w:jc w:val="both"/>
      </w:pPr>
      <w:r>
        <w:rPr>
          <w:rFonts w:ascii="SimSun" w:cs="SimSun" w:eastAsia="SimSun" w:hAnsi="SimSun"/>
          <w:b/>
          <w:bCs/>
          <w:i w:val="false"/>
          <w:iCs w:val="false"/>
          <w:color w:val="000000"/>
          <w:sz w:val="24"/>
          <w:szCs w:val="24"/>
        </w:rPr>
        <w:t xml:space="preserve">命题5：</w:t>
      </w:r>
      <w:r>
        <w:rPr>
          <w:rFonts w:ascii="SimSun" w:cs="SimSun" w:eastAsia="SimSun" w:hAnsi="SimSun"/>
          <w:b w:val="false"/>
          <w:bCs w:val="false"/>
          <w:i w:val="false"/>
          <w:iCs w:val="false"/>
          <w:color w:val="000000"/>
          <w:sz w:val="24"/>
          <w:szCs w:val="24"/>
        </w:rPr>
        <w:t xml:space="preserve">外部监管、客户断单或安全事故可以绕过前序环节直接启动行动；这类行动应单列，不能用来证明日常反馈链已经有效。</w:t>
      </w:r>
    </w:p>
    <w:p>
      <w:pPr>
        <w:spacing w:after="120" w:before="120" w:line="360"/>
        <w:ind w:firstLine="480"/>
        <w:jc w:val="both"/>
      </w:pPr>
      <w:r>
        <w:rPr>
          <w:rFonts w:ascii="SimSun" w:cs="SimSun" w:eastAsia="SimSun" w:hAnsi="SimSun"/>
          <w:b/>
          <w:bCs/>
          <w:i w:val="false"/>
          <w:iCs w:val="false"/>
          <w:color w:val="000000"/>
          <w:sz w:val="24"/>
          <w:szCs w:val="24"/>
        </w:rPr>
        <w:t xml:space="preserve">命题6：</w:t>
      </w:r>
      <w:r>
        <w:rPr>
          <w:rFonts w:ascii="SimSun" w:cs="SimSun" w:eastAsia="SimSun" w:hAnsi="SimSun"/>
          <w:b w:val="false"/>
          <w:bCs w:val="false"/>
          <w:i w:val="false"/>
          <w:iCs w:val="false"/>
          <w:color w:val="000000"/>
          <w:sz w:val="24"/>
          <w:szCs w:val="24"/>
        </w:rPr>
        <w:t xml:space="preserve">高质量转译若长期被资源约束阻断，模型应增加约束条件，而不是继续把失败写成“反馈质量不足”。</w:t>
      </w:r>
    </w:p>
    <w:p>
      <w:pPr>
        <w:spacing w:after="120" w:before="120" w:line="360"/>
        <w:ind w:firstLine="480"/>
        <w:jc w:val="both"/>
      </w:pPr>
      <w:r>
        <w:rPr>
          <w:rFonts w:ascii="SimSun" w:cs="SimSun" w:eastAsia="SimSun" w:hAnsi="SimSun"/>
          <w:b/>
          <w:bCs/>
          <w:i w:val="false"/>
          <w:iCs w:val="false"/>
          <w:color w:val="000000"/>
          <w:sz w:val="24"/>
          <w:szCs w:val="24"/>
        </w:rPr>
        <w:t xml:space="preserve">命题7：</w:t>
      </w:r>
      <w:r>
        <w:rPr>
          <w:rFonts w:ascii="SimSun" w:cs="SimSun" w:eastAsia="SimSun" w:hAnsi="SimSun"/>
          <w:b w:val="false"/>
          <w:bCs w:val="false"/>
          <w:i w:val="false"/>
          <w:iCs w:val="false"/>
          <w:color w:val="000000"/>
          <w:sz w:val="24"/>
          <w:szCs w:val="24"/>
        </w:rPr>
        <w:t xml:space="preserve">若在缺少转译、议程或耦合的情况下仍反复出现符合三项操作标准的战略行动，应重构模型，不把被绕过的环节保留为必要条件。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四、研究方法</w:t>
      </w:r>
    </w:p>
    <w:p>
      <w:pPr>
        <w:pStyle w:val="Heading2"/>
        <w:spacing w:after="120" w:before="280" w:line="360"/>
      </w:pPr>
      <w:r>
        <w:rPr>
          <w:rFonts w:ascii="SimHei" w:cs="SimHei" w:eastAsia="SimHei" w:hAnsi="SimHei"/>
          <w:b/>
          <w:bCs/>
          <w:i w:val="false"/>
          <w:iCs w:val="false"/>
          <w:color w:val="2E5090"/>
          <w:sz w:val="26"/>
          <w:szCs w:val="26"/>
        </w:rPr>
        <w:t xml:space="preserve">（一）总体策略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首选路径是纵向比较案例，分析单位是反馈事件，而不是企业抽象文化。选择2—4家同一细分行业中的成长型制造企业，要求已设员工与客户反馈渠道，正在扩产、改型或调整工艺，并允许研究者在约6—10个月内追踪同一类质量问题。每家至少纳入8—12个事件，其中尽量包含员工来源、客户来源和双来源并案。比较成功转化、停在售后、停在议程、被资源阻断四类结局。</w:t>
      </w:r>
    </w:p>
    <w:p>
      <w:pPr>
        <w:pStyle w:val="Heading2"/>
        <w:spacing w:after="120" w:before="280" w:line="360"/>
      </w:pPr>
      <w:r>
        <w:rPr>
          <w:rFonts w:ascii="SimHei" w:cs="SimHei" w:eastAsia="SimHei" w:hAnsi="SimHei"/>
          <w:b/>
          <w:bCs/>
          <w:i w:val="false"/>
          <w:iCs w:val="false"/>
          <w:color w:val="2E5090"/>
          <w:sz w:val="26"/>
          <w:szCs w:val="26"/>
        </w:rPr>
        <w:t xml:space="preserve">（二）资料</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每条事件建立档案，尽量三角互证：渠道原始记录（工单、投诉单、安灯、提案）；会议纪要与审批流；预算或工单变更；标准/作业指导书版本；对质量、生产、销售负责人和至少一名一线员工、一名客户接口人的访谈。访谈用于补时间线和理由，不以回忆替代原始记录。若企业只愿提供汇总报表、不愿开放事件档案，该企业降为背景案例，不进入主比较。</w:t>
      </w:r>
    </w:p>
    <w:p>
      <w:pPr>
        <w:pStyle w:val="Heading2"/>
        <w:spacing w:after="120" w:before="280" w:line="360"/>
      </w:pPr>
      <w:r>
        <w:rPr>
          <w:rFonts w:ascii="SimHei" w:cs="SimHei" w:eastAsia="SimHei" w:hAnsi="SimHei"/>
          <w:b/>
          <w:bCs/>
          <w:i w:val="false"/>
          <w:iCs w:val="false"/>
          <w:color w:val="2E5090"/>
          <w:sz w:val="26"/>
          <w:szCs w:val="26"/>
        </w:rPr>
        <w:t xml:space="preserve">（三）编码与过程追踪</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先按五环节做结构化编码：每一环节标记发生/未发生、时间戳、责任部门、证据类型。再做过程追踪：对每个转化成功事件，询问若去掉某一环节，行动是否仍能发生；对每个失败事件，定位最早稳定断点。来源、缺陷类型、金额或停线损失、是否触及安全或法规，作为情境条件而非因变量。两名编码者先独立编码一小部分事件，计算一致性后再扩全样本。</w:t>
      </w:r>
    </w:p>
    <w:p>
      <w:pPr>
        <w:pStyle w:val="Heading2"/>
        <w:spacing w:after="120" w:before="280" w:line="360"/>
      </w:pPr>
      <w:r>
        <w:rPr>
          <w:rFonts w:ascii="SimHei" w:cs="SimHei" w:eastAsia="SimHei" w:hAnsi="SimHei"/>
          <w:b/>
          <w:bCs/>
          <w:i w:val="false"/>
          <w:iCs w:val="false"/>
          <w:color w:val="2E5090"/>
          <w:sz w:val="26"/>
          <w:szCs w:val="26"/>
        </w:rPr>
        <w:t xml:space="preserve">（四）比较逻辑</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企业之间比较制度安排：渠道是否互通、转译是否有专职角色、议程是否有资源权限、回告是否强制。企业之内比较同一制度下不同来源、不同损失量级的事件，以分离制度效应与个案压力。外部冲击启动的行动单独成组，检验命题5。资源约束在研究窗口内上升的企业，用于检验命题6。</w:t>
      </w:r>
    </w:p>
    <w:p>
      <w:pPr>
        <w:pStyle w:val="Heading2"/>
        <w:spacing w:after="120" w:before="280" w:line="360"/>
      </w:pPr>
      <w:r>
        <w:rPr>
          <w:rFonts w:ascii="SimHei" w:cs="SimHei" w:eastAsia="SimHei" w:hAnsi="SimHei"/>
          <w:b/>
          <w:bCs/>
          <w:i w:val="false"/>
          <w:iCs w:val="false"/>
          <w:color w:val="2E5090"/>
          <w:sz w:val="26"/>
          <w:szCs w:val="26"/>
        </w:rPr>
        <w:t xml:space="preserve">（五）伦理</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企业协议与各类受访者知情同意分别取得。不向管理层提交可识别个人的批评原文。客户名称、索赔金额和未公开缺陷做去标识处理。研究不介入正在进行的责任追究。补偿不与“提供符合预期的成功案例”挂钩。</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五、分析策略与证伪</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分析产出三张表。事件路径表：每条事件经过了哪些环节、在何处停止、最终是否满足战略行动三项标准。条件组合表：转译质量、双来源并案、议程权限、资源耦合、外部冲击如何与结局共变。反例表：无某环节却成功、有全环节却失败、仅因监管而成功的事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证伪规则事先写明。若转化成功的事件普遍缺少转译或耦合，命题3、4应撤回或降为或然条件。若渠道越多的企业转化率越高且过程无差异，命题1应修改。若员工来源与客户来源在并案前后无差别，命题2应放弃。若所有“成功”都由断单或事故驱动，日常反馈链有效的说法不能成立。过程案例不能估计普遍发生率，也不得把单家企业的做法写成最佳实践。</w:t>
      </w:r>
    </w:p>
    <w:p>
      <w:pPr>
        <w:spacing w:after="60" w:before="180" w:line="320"/>
        <w:jc w:val="center"/>
      </w:pPr>
      <w:r>
        <w:rPr>
          <w:rFonts w:ascii="SimHei" w:cs="SimHei" w:eastAsia="SimHei" w:hAnsi="SimHei"/>
          <w:b/>
          <w:bCs/>
          <w:i w:val="false"/>
          <w:iCs w:val="false"/>
          <w:color w:val="000000"/>
          <w:sz w:val="21"/>
          <w:szCs w:val="21"/>
        </w:rPr>
        <w:t xml:space="preserve">表2　命题与证伪标准</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219"/>
        <w:gridCol w:w="4219"/>
      </w:tblGrid>
      <w:tr>
        <w:trPr>
          <w:tblHeader/>
        </w:trPr>
        <w:tc>
          <w:tcPr>
            <w:tcW w:type="dxa" w:w="1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命题</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支持迹象</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证伪或修改迹象</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P1</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高参与率企业转化率并不更高</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渠道扩张本身带来可追踪的标准变更</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P2</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并案事件更常完成转化</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单来源与双来源无稳定差别</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P3</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可核验转译预测议程进入</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来源身份稳定压过转译质量</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P4</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无耦合则停在纪要</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无预算责任人仍频繁完成三项标准</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P5</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冲击路径可识别且可单列</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冲击被算进日常反馈链成效</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P6</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高质量事件卡在资源</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失败被一律写成反馈质量差</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P7</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反例促使改模型</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把反例解释成测量误差以保住原链</w:t>
            </w:r>
          </w:p>
        </w:tc>
      </w:tr>
    </w:tbl>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六、理论贡献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第一，把利益相关者参与的测量从输入端移到输出端。输入端问收集了多少意见；输出端问哪一条意见留下了预算、责任人和标准变更记录。没有这一移动，参与治理很容易被渠道建设替代。</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第二，把议题推销向后延长到资源耦合与实施留痕。Dutton 与 Ashford 解释问题如何被看见；[1] 本篇解释看见之后如何成为可检查的行动，并允许某些行动由监管或断单绕过前序环节。</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第三，把员工与客户写成同一缺陷上的双来源，而不是两类并列的“利益相关者管理项目”。书稿中的共同创造若要进入治理，必须说明异质证据如何并案，而不是假设所有声音具有相同证明力。[4]</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第四，为第8篇预备对照：本篇追踪已经进入通道的事件如何走完转化；第8篇解释有限注意力下哪些议题根本进不了通道。两者都涉及排序，但一个解释过程完成，一个解释过程开始。</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七、实践启示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若过程比较支持模型，质量与战略负责人应避免把“再开一个意见箱”当作整改。更可能缺的是四件具体能力：把投诉和产线报告写成可复现问题的转译岗位；一张让双来源并案的问题台账；一个真正能批预算或改标准的议程，而不是通报会；以及强制回告来源的实施记录。临时现场处理可以减少当次损失，却不应被登记为战略行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成长企业尤其需要承认资源约束。高质量反馈被挡住时，诚实的管理动作是记录延期理由和复审日期，而不是把失败归咎于员工不会表达或客户过于苛刻。监管驱动的整改要单列，以免日常反馈链的失效被危机成功所掩盖。</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八、局限、边界与后续研究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是案例设计，不是已完成的过程理论验证。可及企业可能偏向前来合作、记录相对完整的样本，转化失败会被低估。回忆访谈会美化“我们一直很重视质量”。因此主证据必须是事件档案。外部效度限于成长型制造与质量类议题，不自动外推到薪酬、社区或公共危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与系列其他篇的边界：第1篇是员工个体为何继续贡献；第2篇是一次增量如何分割；第7篇是激励制度如何改变言行一致性；第8篇是企业主有限注意力的优先序。本篇若只能获得议程排序资料而没有实施记录，应按选题论证考虑与第8篇合并，而不是降低战略行动的操作标准来保全独立成篇。</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九、结论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反馈进入组织，只说明有人开口。战略行动要求组织把开口写成可核验的问题，送进能够分配资源的议程，指定责任人和预算，并留下标准或流程已经改变的记录。渠道可以很多，这四步仍可能每一步断开。员工与客户关于同一缺陷的报告，给了观察断点的天然对照：证据不同，压力不同，被相信的方式也不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将转化机制保持为待追踪的过程命题。若案例显示行动总是由断单和事故启动，日常参与装置就尚未成立。若无预算与责任人的耦合仍频繁改写标准，模型就应改写，而不是坚持五环节齐全。研究的任务，是让“我们听取了利益相关者”这句话，必须出示事件层的实施记录才能成立。</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参考文献</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 Dutton, J. E., &amp; Ashford, S. J. (1993). Selling issues to top management. Academy of Management Review, 18(3), 397–428.</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 Morrison, E. W. (2023). Employee voice and silence: Taking stock a decade later. Annual Review of Organizational Psychology and Organizational Behavior, 10, 79–107.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 Freeman, R. E., Harrison, J. S., &amp; Zyglidopoulos, S. (2018). Stakeholder theory: Concepts and strategies. Cambridge University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[4] Andrew David W.Y.（蔚腾飞）.（2026）. 利益相关者资本论（第一版校订工作稿）. WISERUNION.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[5] Andrew David W.Y. 等.（2026）. 《利益相关者理论》衍生八篇论文选题论证书（2026年9月10日讨论稿）.</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[6] Dutton, J. E., &amp; Duncan, R. B. (1987). The creation of momentum for change through the process of strategic issue diagnosis. Strategic Management Journal, 8(3), 279–295.</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[7] Langley, A. (1999). Strategies for theorizing from process data. Academy of Management Review, 24(4), 691–710.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[8] Yin, R. K. (2018). Case study research and applications (6th ed.). Sage.</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[9] Beach, D., &amp; Pedersen, R. B. (2019). Process-tracing methods (2nd ed.). University of Michigan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[10]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[11] Phillips, R. (2003). Stakeholder theory and organizational ethics. Berrett-Koehler.</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[12] Mitchell, R. K., Agle, B. R., &amp; Wood, D. J. (1997). Toward a theory of stakeholder identification and salience. Academy of Management Review, 22(4), 853–886.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[13] Wood, D. J., Mitchell, R. K., Agle, B. R., &amp; Bryan, L. M. (2021). Stakeholder identification and salience after 20 years. Business &amp; Society.</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附录　案例执行要点</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附录A 事件抽样：先圈定一种重复出现的质量缺陷（如密封、公差、涂层或电性能），再按来源抽取员工单源、客户单源和并案事件，避免只抽“领导印象深刻”的成功故事。附录B 时间线模板：接收日、转译完成日、首次进入有权议程日、预算/责任人指定日、标准或流程版本变更日、回告日。附录C 与第8篇合并条件：若无法获得实施记录和预算痕迹，只剩议题排序，则不应降低战略行动定义以维持独立成篇。</w:t>
      </w:r>
    </w:p>
    <w:p>
      <w:pPr>
        <w:spacing w:after="80" w:before="320" w:line="320"/>
        <w:jc w:val="center"/>
      </w:pPr>
      <w:r>
        <w:rPr>
          <w:rFonts w:ascii="KaiTi" w:cs="KaiTi" w:eastAsia="KaiTi" w:hAnsi="KaiTi"/>
          <w:b w:val="false"/>
          <w:bCs w:val="false"/>
          <w:i w:val="false"/>
          <w:iCs w:val="false"/>
          <w:color w:val="555555"/>
          <w:sz w:val="22"/>
          <w:szCs w:val="22"/>
        </w:rPr>
        <w:t xml:space="preserve">（全文完）</w:t>
      </w:r>
    </w:p>
    <w:sectPr>
      <w:headerReference w:type="default" r:id="rId7"/>
      <w:footerReference w:type="default" r:id="rId8"/>
      <w:pgSz w:w="11906" w:h="16838" w:orient="portrait"/>
      <w:pgMar w:top="1134" w:right="1134" w:bottom="13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SimSun" w:cs="SimSun" w:eastAsia="SimSun" w:hAnsi="SimSun"/>
        <w:b w:val="false"/>
        <w:bCs w:val="false"/>
        <w:i w:val="false"/>
        <w:iCs w:val="false"/>
        <w:color w:val="6B7C8D"/>
        <w:sz w:val="16"/>
        <w:szCs w:val="16"/>
      </w:rPr>
      <w:t xml:space="preserve">Andrew David W.Y.　·　Grok　·　2026    第 </w:t>
    </w:r>
    <w:r>
      <w:rPr>
        <w:rFonts w:ascii="SimSun" w:cs="SimSun" w:eastAsia="SimSun" w:hAnsi="SimSun"/>
        <w:color w:val="6B7C8D"/>
        <w:sz w:val="16"/>
        <w:szCs w:val="16"/>
      </w:rPr>
      <w:fldChar w:fldCharType="begin"/>
      <w:instrText xml:space="preserve">PAGE</w:instrText>
      <w:fldChar w:fldCharType="separate"/>
      <w:fldChar w:fldCharType="end"/>
    </w:r>
    <w:r>
      <w:rPr>
        <w:rFonts w:ascii="SimSun" w:cs="SimSun" w:eastAsia="SimSun" w:hAnsi="SimSun"/>
        <w:b w:val="false"/>
        <w:bCs w:val="false"/>
        <w:i w:val="false"/>
        <w:iCs w:val="false"/>
        <w:color w:val="6B7C8D"/>
        <w:sz w:val="16"/>
        <w:szCs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SimSun" w:cs="SimSun" w:eastAsia="SimSun" w:hAnsi="SimSun"/>
        <w:b w:val="false"/>
        <w:bCs w:val="false"/>
        <w:i w:val="false"/>
        <w:iCs w:val="false"/>
        <w:color w:val="6B7C8D"/>
        <w:sz w:val="16"/>
        <w:szCs w:val="16"/>
      </w:rPr>
      <w:t xml:space="preserve">系列论文之三  ·  </w:t>
    </w:r>
    <w:r>
      <w:rPr>
        <w:rFonts w:ascii="SimSun" w:cs="SimSun" w:eastAsia="SimSun" w:hAnsi="SimSun"/>
        <w:b w:val="false"/>
        <w:bCs w:val="false"/>
        <w:i w:val="false"/>
        <w:iCs w:val="false"/>
        <w:color w:val="1F4E79"/>
        <w:sz w:val="16"/>
        <w:szCs w:val="16"/>
      </w:rPr>
      <w:t xml:space="preserve">反馈如何进入战略行动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imHei" w:cs="SimHei" w:eastAsia="SimHei" w:hAnsi="SimHei"/>
      <w:b/>
      <w:bCs/>
      <w:color w:val="1F4E79"/>
      <w:sz w:val="28"/>
      <w:szCs w:val="28"/>
    </w:rPr>
  </w:style>
  <w:style w:type="paragraph" w:styleId="Heading2">
    <w:name w:val="Heading 2"/>
    <w:basedOn w:val="Normal"/>
    <w:next w:val="Normal"/>
    <w:qFormat/>
    <w:pPr>
      <w:spacing w:after="120" w:before="280"/>
      <w:outlineLvl w:val="1"/>
    </w:pPr>
    <w:rPr>
      <w:rFonts w:ascii="SimHei" w:cs="SimHei" w:eastAsia="SimHei" w:hAnsi="SimHei"/>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2026-09-27T12:33:26.190Z</dcterms:created>
  <dcterms:modified xsi:type="dcterms:W3CDTF">2026-09-27T12:33:26.190Z</dcterms:modified>
</cp:coreProperties>
</file>

<file path=docProps/custom.xml><?xml version="1.0" encoding="utf-8"?>
<Properties xmlns="http://schemas.openxmlformats.org/officeDocument/2006/custom-properties" xmlns:vt="http://schemas.openxmlformats.org/officeDocument/2006/docPropsVTypes"/>
</file>